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C1" w:rsidRPr="005B39DE" w:rsidRDefault="002D3DC1" w:rsidP="002D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9DE">
        <w:rPr>
          <w:rFonts w:ascii="Times New Roman" w:hAnsi="Times New Roman" w:cs="Times New Roman"/>
          <w:b/>
          <w:sz w:val="28"/>
          <w:szCs w:val="28"/>
        </w:rPr>
        <w:t>Тема 6. Международное сотрудничество в области ветеринарии</w:t>
      </w:r>
    </w:p>
    <w:p w:rsidR="002D3DC1" w:rsidRPr="005B39DE" w:rsidRDefault="002D3DC1" w:rsidP="002D3DC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9DE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D3DC1" w:rsidRPr="00367A79" w:rsidRDefault="002D3DC1" w:rsidP="002D3D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еждународная деятельность в области ветеринарии.</w:t>
      </w:r>
    </w:p>
    <w:p w:rsidR="002D3DC1" w:rsidRPr="00367A79" w:rsidRDefault="002D3DC1" w:rsidP="002D3D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етеринарно-санитарные меры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вропейского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Союза.</w:t>
      </w:r>
    </w:p>
    <w:p w:rsidR="002D3DC1" w:rsidRPr="00367A79" w:rsidRDefault="002D3DC1" w:rsidP="002D3D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етеринарно-санитарные меры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вразийского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</w:t>
      </w:r>
      <w:r w:rsidRPr="00367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кономического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Союза.</w:t>
      </w:r>
    </w:p>
    <w:p w:rsidR="002D3DC1" w:rsidRPr="00367A79" w:rsidRDefault="002D3DC1" w:rsidP="002D3D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5D5D5D"/>
          <w:sz w:val="28"/>
          <w:szCs w:val="28"/>
          <w:shd w:val="clear" w:color="auto" w:fill="EFEFEF"/>
        </w:rPr>
      </w:pPr>
    </w:p>
    <w:p w:rsidR="002D3DC1" w:rsidRPr="005B39DE" w:rsidRDefault="002D3DC1" w:rsidP="002D3DC1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5B39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Международная деятельность в области ветеринарии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A79">
        <w:rPr>
          <w:rFonts w:ascii="Times New Roman" w:hAnsi="Times New Roman" w:cs="Times New Roman"/>
          <w:sz w:val="28"/>
          <w:szCs w:val="28"/>
        </w:rPr>
        <w:t>Международные стандарты в области ветеринарного контроля, предотвращения распространения заразных болезней животных отражены в документах Всемирной организации здравоохранения животных (МЭБ – Международное Эпизоотическое Бюро – историческое название данной организации:</w:t>
      </w:r>
      <w:proofErr w:type="gramEnd"/>
      <w:r w:rsidRPr="00367A79">
        <w:rPr>
          <w:rFonts w:ascii="Times New Roman" w:hAnsi="Times New Roman" w:cs="Times New Roman"/>
          <w:sz w:val="28"/>
          <w:szCs w:val="28"/>
        </w:rPr>
        <w:t xml:space="preserve"> Санитарный кодекс наземных животных; Санитарный кодекс водных животных; Руководство по диагностике болезней наземных животных; Руководство по диагностике болезней водных животных.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>При разработке национальных законодательств по применению санитарных и фитосанитарных мер МЭБ рекомендует руководство</w:t>
      </w:r>
      <w:r>
        <w:rPr>
          <w:rFonts w:ascii="Times New Roman" w:hAnsi="Times New Roman" w:cs="Times New Roman"/>
          <w:sz w:val="28"/>
          <w:szCs w:val="28"/>
        </w:rPr>
        <w:t>ваться следующими принципами</w:t>
      </w:r>
      <w:r w:rsidRPr="00367A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-ветеринарно-санитарные меры основываются на научных данных, объективной оценке ситуации (степени риска);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-оценка ситуации не может быть использована для искусственного ограничения или дискриминации торговли или иных протекционистских целей;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-ветеринарно-санитарные меры не могут служить для дискриминации товара по стране происхождения;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-ветеринарно-санитарные меры должны быть адаптированы к региональным условиям с учетом зон, свободных от заразных болезней и с низким уровнем из распространения;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7A79">
        <w:rPr>
          <w:rFonts w:ascii="Times New Roman" w:hAnsi="Times New Roman" w:cs="Times New Roman"/>
          <w:sz w:val="28"/>
          <w:szCs w:val="28"/>
        </w:rPr>
        <w:t xml:space="preserve">ветеринарно-санитарные меры не должны существенно отличаться от международных стандартов, в случае их отличия они подлежат публикации для уведомления заинтересованных сторон;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lastRenderedPageBreak/>
        <w:t>-требования по ветеринарному надзору должны устанавливаться в пределах, обеспечивающих выполнение ветеринарно-санитарных норм, и должны быть равнозначными для отечест</w:t>
      </w:r>
      <w:r>
        <w:rPr>
          <w:rFonts w:ascii="Times New Roman" w:hAnsi="Times New Roman" w:cs="Times New Roman"/>
          <w:sz w:val="28"/>
          <w:szCs w:val="28"/>
        </w:rPr>
        <w:t>венных и импортируемых товаров.</w:t>
      </w:r>
    </w:p>
    <w:p w:rsidR="002D3DC1" w:rsidRDefault="002D3DC1" w:rsidP="002D3D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 </w:t>
      </w:r>
      <w:r w:rsidRPr="00367A79">
        <w:rPr>
          <w:rFonts w:ascii="Times New Roman" w:hAnsi="Times New Roman" w:cs="Times New Roman"/>
          <w:sz w:val="28"/>
          <w:szCs w:val="28"/>
        </w:rPr>
        <w:t>Международно</w:t>
      </w:r>
      <w:r>
        <w:rPr>
          <w:rFonts w:ascii="Times New Roman" w:hAnsi="Times New Roman" w:cs="Times New Roman"/>
          <w:sz w:val="28"/>
          <w:szCs w:val="28"/>
        </w:rPr>
        <w:t>го Эпизоотического</w:t>
      </w:r>
      <w:r w:rsidRPr="00367A79">
        <w:rPr>
          <w:rFonts w:ascii="Times New Roman" w:hAnsi="Times New Roman" w:cs="Times New Roman"/>
          <w:sz w:val="28"/>
          <w:szCs w:val="28"/>
        </w:rPr>
        <w:t xml:space="preserve"> Бюро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аспростра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зоосанитарной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информации;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бесп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ечение доступности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</w:t>
      </w:r>
      <w:proofErr w:type="gramStart"/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эпизоотической обстановке в мире и болезнях общих для человека и животных Сбор, анализ и распространение научной ветеринарной информации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способствует 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улучшению деятельности ветеринарных служб Экспертное обеспечение и поощрение международной помощи в борьбе с болезнями животных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лучшение законодательств и ресурсов национальных Ветеринарных Служб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распространение и популяризация международных норм в области ветеринарии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D3DC1" w:rsidRPr="00672129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Pr="00672129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беспечение лучших гарантий безопасности пищевых 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дуктов животного происхождения.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В национальном ветеринарном законодательстве предлагается использовать определение оценки риска – вероятности активизации природных эпизоотических очагов, заноса возбудителей заразных болезней извне, возникновения и распространения вызванных этими факторами заболеваний животных, а также прогнозирование биологических и экономических последствий.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Ветеринарно-санитарными называются меры, применяемые </w:t>
      </w:r>
      <w:proofErr w:type="gramStart"/>
      <w:r w:rsidRPr="00367A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67A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-защиты жизни или здоровья людей и животных от потенциального риска заболеваний, связанных с содержанием в их пище вредных примесей, загрязняющих веществ, токсинов и болезнетворных бактерий;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-защиты жизни или здоровья человека от потенциального риска заражения болезнями, переносчиками которых являются животные, растения или продукты из них;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lastRenderedPageBreak/>
        <w:t xml:space="preserve">-защиты жизни и здоровья животных от рисков, вызванных проникновением и распространением паразитов, болезней, организмов – переносчиков и распространителей болезни;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-предотвращения или сокращения других вредных последствий, вызванных проникновением или распространением паразитов. Это определение включает также ветеринарно-санитарные меры, применяемые для охраны здоровья водных и диких животных.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К числу ветеринарно-санитарных мер относятся: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-все соответствующие законы, постановления, правила, требования и процедуры, охватывающие, в том числе, требования к конечному продукту;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-процедуры испытания, инспектирования, сертификации и одобрения;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-карантинные правила, включающие соответствующие требования, связанные с перевозкой животных или материалов, необходимых для их жизнедеятельности во время перевозки;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-положение в отношении соответствующих статистических методов;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-процедуры отбора проб и методов оценки риска; </w:t>
      </w:r>
    </w:p>
    <w:p w:rsidR="002D3DC1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A79">
        <w:rPr>
          <w:rFonts w:ascii="Times New Roman" w:hAnsi="Times New Roman" w:cs="Times New Roman"/>
          <w:sz w:val="28"/>
          <w:szCs w:val="28"/>
        </w:rPr>
        <w:t xml:space="preserve">-требования к упаковке и маркировке, непосредственно направленные на обеспечение безопасности пищевых продуктов. </w:t>
      </w:r>
    </w:p>
    <w:p w:rsidR="002D3DC1" w:rsidRPr="005B39DE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5B3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B39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Ветеринарно-санитарные меры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Е</w:t>
      </w:r>
      <w:r w:rsidRPr="005B39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вропейского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Союза</w:t>
      </w:r>
      <w:r w:rsidRPr="005B39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  <w:r w:rsidRPr="005B39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ab/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Регламент (ЕС) № 998/2003 Европейского парламента и Совета  излагает требования к здоровью животных, распространяющиеся на некоммерческое перемещение домашних питомцев в государство-член из другого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государствачлена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или из третьих стран, и к проверкам, распространяющимся на такое перемещение.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Он нацелен на обеспечение достаточного уровня безопасности в отношении рисков для здоровья людей и животных, вовлеченных в такое некоммерческое перемещение, и на удаление неоправданных препятствий для такого перемещения.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В приложении к Регламенту (EU) № 438/2010 Европейского парламента и Совета от 19 мая 2010 года, вносящем поправки в Регламент (ЕС)</w:t>
      </w:r>
      <w:r>
        <w:rPr>
          <w:rFonts w:ascii="Times New Roman" w:hAnsi="Times New Roman" w:cs="Times New Roman"/>
          <w:sz w:val="28"/>
          <w:szCs w:val="28"/>
        </w:rPr>
        <w:t xml:space="preserve"> № 998/2003 в отношении </w:t>
      </w:r>
      <w:r w:rsidRPr="003418A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J C 229, 31.7.2012, p. 119. </w:t>
      </w:r>
      <w:r w:rsidRPr="003418A7">
        <w:rPr>
          <w:rFonts w:ascii="Times New Roman" w:hAnsi="Times New Roman" w:cs="Times New Roman"/>
          <w:sz w:val="28"/>
          <w:szCs w:val="28"/>
        </w:rPr>
        <w:t xml:space="preserve">Позиция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 xml:space="preserve">Европейского парламента от 23 мая 2013 года (пока не опубликованная в Официальном журнале) и Решение Совета от 10 июня 2013 года.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Учитывая число поправок, которые необходимо внести в требования к здоровью животных, изложенные в Регламенте (ЕС) № 998/2003, и с целью обеспечения того, чтобы эти требования были достаточно понятными и доступными для понимания рядовым гражданином, тот Регламент следует аннулировать и заменить его данным Регламентом. (3) Данный Регламент должен учредить список видов животных, которых должны касаться гармонизированные требования к здоровью животных, когда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животных этих видов содержат в качестве домашних питомцев и подвергают некоммерческому перемещению. При составлении такого списка следует уделять внимание их восприимчивости или роли</w:t>
      </w:r>
      <w:r>
        <w:rPr>
          <w:rFonts w:ascii="Times New Roman" w:hAnsi="Times New Roman" w:cs="Times New Roman"/>
          <w:sz w:val="28"/>
          <w:szCs w:val="28"/>
        </w:rPr>
        <w:t xml:space="preserve"> в эпизоотологии бешенства.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Директива Совета 92/65/ЕЕС от 13 июля 1992 года, излагающая требования к здоровью животных, регулирующие торговлю и импорт в Сообщество животных, спермы, яйцеклеток и эмбрионов, на которые не распространяются требования к здоровью животных, изложенные в специальных правилах Сообщества, указанных в Приложении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(I) к Директиве 90/425/ЕЕС </w:t>
      </w:r>
      <w:r w:rsidRPr="003418A7">
        <w:rPr>
          <w:rFonts w:ascii="Times New Roman" w:hAnsi="Times New Roman" w:cs="Times New Roman"/>
          <w:sz w:val="28"/>
          <w:szCs w:val="28"/>
        </w:rPr>
        <w:t xml:space="preserve">устанавливает, среди прочего, требования к здоровью животных, распространяющиеся на торговлю и импортные поставки собак, кошек и хорьков, которые являются животными видов, восприимчивых к бешенству.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Так как эти виды содержатся также в качестве домашних питомцев, которые часто сопровождают своего владельца или уполномоченное лицо во время некоммерческого перемещения в пределах 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3418A7">
        <w:rPr>
          <w:rFonts w:ascii="Times New Roman" w:hAnsi="Times New Roman" w:cs="Times New Roman"/>
          <w:sz w:val="28"/>
          <w:szCs w:val="28"/>
        </w:rPr>
        <w:t xml:space="preserve"> или в Союз, данный Регламент должен изложить требования к здоровью животных, распространяющиеся на некоммерческое перемещение этих видов в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8A7">
        <w:rPr>
          <w:rFonts w:ascii="Times New Roman" w:hAnsi="Times New Roman" w:cs="Times New Roman"/>
          <w:sz w:val="28"/>
          <w:szCs w:val="28"/>
        </w:rPr>
        <w:t>члены. Эти виды следует перечислить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</w:t>
      </w:r>
      <w:r>
        <w:rPr>
          <w:rFonts w:ascii="Times New Roman" w:hAnsi="Times New Roman" w:cs="Times New Roman"/>
          <w:sz w:val="28"/>
          <w:szCs w:val="28"/>
        </w:rPr>
        <w:t xml:space="preserve">ния I к данному Регламенту.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Подобным образом будет учреждена законодательная основа для требований к здоровью животных, распространяющихся на некоммерческое перемещение животных видов, которые не поражаются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 xml:space="preserve">бешенством или которые не обладают эпизоотологической значимостью в отношении бешенства, к которым, если они не содержались в качестве домашних питомцев, должны применяться другие законодательные акты 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3418A7">
        <w:rPr>
          <w:rFonts w:ascii="Times New Roman" w:hAnsi="Times New Roman" w:cs="Times New Roman"/>
          <w:sz w:val="28"/>
          <w:szCs w:val="28"/>
        </w:rPr>
        <w:t>, включая законодательство по животным, используемым для производства пищевых продуктов.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Эти виды должны быть перечислены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I. (4) OJ L 132, 29.5.2010, р. 3. (5) OJ L 268, 14.9.1992, р. 54. (6) Список в Части В Приложения I должен включать беспозвоночных животных, за исключением пчел и шмелей, на которых распространяется действие Директивы 92/65/ЕЕС, и моллюсков и ракообразных, на которых распространяется действие Директивы Совета 2006/88/ЕС от 24 октября 2006 года по требованиям к здоровью животных в отношении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и продуктов из нее и по профилактике и контролю некотор</w:t>
      </w:r>
      <w:r>
        <w:rPr>
          <w:rFonts w:ascii="Times New Roman" w:hAnsi="Times New Roman" w:cs="Times New Roman"/>
          <w:sz w:val="28"/>
          <w:szCs w:val="28"/>
        </w:rPr>
        <w:t>ых болезней водных животных</w:t>
      </w:r>
      <w:r w:rsidRPr="00341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Он должен также включать декоративных водных животных, выращенных в некоммерческих аквариумах и исключенных из сферы действия Директивы 2006/8</w:t>
      </w:r>
      <w:r>
        <w:rPr>
          <w:rFonts w:ascii="Times New Roman" w:hAnsi="Times New Roman" w:cs="Times New Roman"/>
          <w:sz w:val="28"/>
          <w:szCs w:val="28"/>
        </w:rPr>
        <w:t xml:space="preserve">8/ЕС, и амфибий и рептилий. </w:t>
      </w:r>
      <w:r w:rsidRPr="003418A7">
        <w:rPr>
          <w:rFonts w:ascii="Times New Roman" w:hAnsi="Times New Roman" w:cs="Times New Roman"/>
          <w:sz w:val="28"/>
          <w:szCs w:val="28"/>
        </w:rPr>
        <w:t>Список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 должен далее включать все виды птиц, кроме тех, которых охватывает Директива Совета 2009/158/ЕС от 30 ноября 2009 года по условиям здоровья животных, регулирующим торговлю внутри Сообщества, и импорту из третьих стран домашней птицы и инкубационных яиц (2) , и грызунов и кроликов, кроме тех, которые предназначены для производства пищевых продуктов, и указаны в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I к Регламенту (ЕС) № 853/2004 Европейского парламента и Совета от 29 апреля 2004 года, излагающему специальные правила гигиены в отношении пищевых продуктов жи</w:t>
      </w:r>
      <w:r>
        <w:rPr>
          <w:rFonts w:ascii="Times New Roman" w:hAnsi="Times New Roman" w:cs="Times New Roman"/>
          <w:sz w:val="28"/>
          <w:szCs w:val="28"/>
        </w:rPr>
        <w:t xml:space="preserve">вотного происхождения. </w:t>
      </w:r>
      <w:r w:rsidRPr="003418A7">
        <w:rPr>
          <w:rFonts w:ascii="Times New Roman" w:hAnsi="Times New Roman" w:cs="Times New Roman"/>
          <w:sz w:val="28"/>
          <w:szCs w:val="28"/>
        </w:rPr>
        <w:t xml:space="preserve">Однако в интересах стабильности законодательства 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3418A7">
        <w:rPr>
          <w:rFonts w:ascii="Times New Roman" w:hAnsi="Times New Roman" w:cs="Times New Roman"/>
          <w:sz w:val="28"/>
          <w:szCs w:val="28"/>
        </w:rPr>
        <w:t>, в ожидании разработки правил, регулирующих некоммерческое перемещение в государство-член из другого государства-члена или с территории или из третьей страны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можно применять национальные правила к такому перемещению при условии, что они более строгие по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сравнению с теми, которые применяются в отношении переме</w:t>
      </w:r>
      <w:r>
        <w:rPr>
          <w:rFonts w:ascii="Times New Roman" w:hAnsi="Times New Roman" w:cs="Times New Roman"/>
          <w:sz w:val="28"/>
          <w:szCs w:val="28"/>
        </w:rPr>
        <w:t xml:space="preserve">щения в коммерческих целях.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Так как животные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 к данному Регламенту, могут принадлежать к видам, которые требуют особой защиты, данный Регламент должен применяться, не ограничивая действие Регламента Совета (ЕС) № 338/97 от 9 декабря 1996 года по защите видов дикой фауны и флоры, регулируя торговлю ими (4) . (10) Для того, чтобы провести четкое различие между правилами, которые применяются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в отношении некоммерческого перемещения и торговли и импорта в Союз из третьих стран собак, кошек и хорьков, на которых распространяются требования к здоровью животных Директивы 92/65/ЕЕС, данный Регламент должен дать определение не только домашнему питомцу, но также и некоммерческому перемещению домашнего питомца, в течение которого домашний питомец сопровождает своего владельца или уполномоченное лицо.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Опыт показал, что не всегда имеется возможность для домашнего питомца находиться в непосредственной близости от владельца или уполномоченного лица все время в течен</w:t>
      </w:r>
      <w:r>
        <w:rPr>
          <w:rFonts w:ascii="Times New Roman" w:hAnsi="Times New Roman" w:cs="Times New Roman"/>
          <w:sz w:val="28"/>
          <w:szCs w:val="28"/>
        </w:rPr>
        <w:t>ие некоммерческого перемещения.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На основании обоснованных и (1) OJ L 328, 24.11.2006, р. 14. (2) OJ L 343, 22.12.2009, р. 74. (3) OJ L 139, 30.4.2004, р.54. (4) OJ L 61, 3.3.1997, р. 1. документированных причин домашнего питомца следует считать сопровождающим своего владельца или уполномоченное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даже если некоммерческое перемещение домашнего питомца происходит за пять дней до или пять дней спустя после перемещения владельца или уполномоченного лица или происходит в другом физическом месте, нежели место, занимаемое владельце</w:t>
      </w:r>
      <w:r>
        <w:rPr>
          <w:rFonts w:ascii="Times New Roman" w:hAnsi="Times New Roman" w:cs="Times New Roman"/>
          <w:sz w:val="28"/>
          <w:szCs w:val="28"/>
        </w:rPr>
        <w:t xml:space="preserve">м или уполномоченным лицом.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Опыт с выполнением существующих правил показывает, что торговля и импорт в Союз из третьих стран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могут мошенническим образом маскироваться под некоммерческое перемещение. В целях предупреждения таких практик, так как они могут представлять риск для здоровья животных, данный Регламент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должен фиксировать максимальное количество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Приложения, которое может сопровождать своего владельца или уполномоченное лицо. Однако в некоторых регламентированных условиях можно пре</w:t>
      </w:r>
      <w:r>
        <w:rPr>
          <w:rFonts w:ascii="Times New Roman" w:hAnsi="Times New Roman" w:cs="Times New Roman"/>
          <w:sz w:val="28"/>
          <w:szCs w:val="28"/>
        </w:rPr>
        <w:t>вышать максимальное количество.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Тем не менее следует уточнить, что в случаях, когда регламентированные условия не выполняются, а количество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 к данному Регламенту, превышает установленное максимальное количество, в отношении этих домашних питомцев применяются соответствующие положения Директивы 92/65/ЕЕС и Директивы 90/425/ЕЕС (5) или Директивы 91/496/ЕЕС(6) . (12) Регламент (ЕС) № 998/2003 предусматривает, что в переходный период домашних питомцев видов, перечисленных в Частях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и В Приложения I, следует считать идентифицированными, если у них имеется легко читаемое клеймо или электронная идентификационная система («чип»).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Поэтому данный Регламент должен сформулировать правила маркировки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 к данному Регламенту, после окончания переходного</w:t>
      </w:r>
      <w:r>
        <w:rPr>
          <w:rFonts w:ascii="Times New Roman" w:hAnsi="Times New Roman" w:cs="Times New Roman"/>
          <w:sz w:val="28"/>
          <w:szCs w:val="28"/>
        </w:rPr>
        <w:t xml:space="preserve"> периода 3 июля 2011 года. </w:t>
      </w:r>
      <w:r w:rsidRPr="003418A7">
        <w:rPr>
          <w:rFonts w:ascii="Times New Roman" w:hAnsi="Times New Roman" w:cs="Times New Roman"/>
          <w:sz w:val="28"/>
          <w:szCs w:val="28"/>
        </w:rPr>
        <w:t>Вживление чипа является инвазивным вмешательством и для его проведения требуются определенные квалификационные навыки. Чипы должен вживлять только сотрудник с соответствующей квалификацией. Если государство-член позволяет сотруднику, который не является ветеринаром, вживлять чипы, тогда оно должно изложить правила по минимальным квалификационным навыкам, которыми должен облада</w:t>
      </w:r>
      <w:r>
        <w:rPr>
          <w:rFonts w:ascii="Times New Roman" w:hAnsi="Times New Roman" w:cs="Times New Roman"/>
          <w:sz w:val="28"/>
          <w:szCs w:val="28"/>
        </w:rPr>
        <w:t xml:space="preserve">ть сотрудник.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proofErr w:type="gramStart"/>
      <w:r w:rsidRPr="003418A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к Регламенту (ЕС) № 998/2003 предусматривает технические требования к идентификации домашних питомцев с использованием чипов.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Эти технические требования касаются призна</w:t>
      </w:r>
      <w:r>
        <w:rPr>
          <w:rFonts w:ascii="Times New Roman" w:hAnsi="Times New Roman" w:cs="Times New Roman"/>
          <w:sz w:val="28"/>
          <w:szCs w:val="28"/>
        </w:rPr>
        <w:t>нных на международном уровне</w:t>
      </w:r>
      <w:r w:rsidRPr="003418A7">
        <w:rPr>
          <w:rFonts w:ascii="Times New Roman" w:hAnsi="Times New Roman" w:cs="Times New Roman"/>
          <w:sz w:val="28"/>
          <w:szCs w:val="28"/>
        </w:rPr>
        <w:t xml:space="preserve"> Директива Совета 90/425/ЕЕС от 26 июня 1990 года, касающаяся ветеринарных и зоотехнических проверок при торговле в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пределах Сообщества определенными живыми животными и продуктами в целях формирования внутреннего рынка (OJ L 224, 18.8.1990, р. 29). (6) Директива Совета 91/496/ЕЕС от 15 июля 1991 года, излагающая принципы, регулирующие организацию ветеринарных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проверок, проводимых на животных, поступающих в Сообщество из третьих стран (OJ L 268, 24.9.1991, р. 56).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18A7">
        <w:rPr>
          <w:rFonts w:ascii="Times New Roman" w:hAnsi="Times New Roman" w:cs="Times New Roman"/>
          <w:sz w:val="28"/>
          <w:szCs w:val="28"/>
        </w:rPr>
        <w:t>тандартов, и они должны быть сформулированы без значительных изменений и дополнений в Приложени</w:t>
      </w:r>
      <w:r>
        <w:rPr>
          <w:rFonts w:ascii="Times New Roman" w:hAnsi="Times New Roman" w:cs="Times New Roman"/>
          <w:sz w:val="28"/>
          <w:szCs w:val="28"/>
        </w:rPr>
        <w:t xml:space="preserve">и II к данному Регламенту. </w:t>
      </w:r>
      <w:r w:rsidRPr="003418A7">
        <w:rPr>
          <w:rFonts w:ascii="Times New Roman" w:hAnsi="Times New Roman" w:cs="Times New Roman"/>
          <w:sz w:val="28"/>
          <w:szCs w:val="28"/>
        </w:rPr>
        <w:t xml:space="preserve">В целях защиты здоровья людей и здоровья домашних питомцев видов, перечисленных в Приложении I, данный Регламент должен обеспечивать возможность принятия превентивных мер по защите здоровья от болезней и инфекций, кроме случаев с бешенством. Эти меры должны базироваться на подтвержденной научной информации и приниматься пропорционально риску для здоровья людей или животных, ассоциированному с некоммерческим перемещением этих домашних питомцев, которые, вероятно, могут быть заражены </w:t>
      </w:r>
      <w:r>
        <w:rPr>
          <w:rFonts w:ascii="Times New Roman" w:hAnsi="Times New Roman" w:cs="Times New Roman"/>
          <w:sz w:val="28"/>
          <w:szCs w:val="28"/>
        </w:rPr>
        <w:t>этими болезнями или инфекциями.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Меры должны включать правила по распределению по категориям государств-членов или их частей, процедуры, в соответствии с которыми государства-члены, которые требуют применения мер по защите здоровья, должны давать на постоянной основе логическое обоснование относительно таких мер, условия для применения и документированного оформления мер по защите здоровья и, если необходимо, условия для частичного отступления от применения этих мер.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Список государств-членов или их частей, распределенных по категориям в соответствии с релевантными правилами, должен быть, поэтому, установлен в имплементирующем акте, который должен быть утвержден со</w:t>
      </w:r>
      <w:r>
        <w:rPr>
          <w:rFonts w:ascii="Times New Roman" w:hAnsi="Times New Roman" w:cs="Times New Roman"/>
          <w:sz w:val="28"/>
          <w:szCs w:val="28"/>
        </w:rPr>
        <w:t xml:space="preserve">гласно данному Регламенту.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Возможно, что вакцины против бешенства, вводимые домашним питомцам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до трехмесячного возраста не индуцируют защитный иммунитет из-за материнских антител. Следовательно, производители вакцин рекомендуют не вакцинировать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молодых домашних питомцев до этого возраста. Поэтому, в целях разрешения некоммерческого перемещения молодых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которые не были вакцинированы или которые были вакцинированы, но еще не выработали защитный иммунитет против бешенства, данный Регламент должен установить определенные меры предосторожности, которые следует принимать, и предоставить государствам-членам возможность давать разрешение на такое перемещение на их территорию, если молодые животные соответствуют этим</w:t>
      </w:r>
      <w:r>
        <w:rPr>
          <w:rFonts w:ascii="Times New Roman" w:hAnsi="Times New Roman" w:cs="Times New Roman"/>
          <w:sz w:val="28"/>
          <w:szCs w:val="28"/>
        </w:rPr>
        <w:t xml:space="preserve"> мерам.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В целях упрощения условий некоммерческого перемещения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между государствами-членами с эквивалентным статусом благополучия в отношении бешенства, данный Регламент должен также обеспечивать возможность частичного отступления от требования вакцинации против бешенства. Такая возможность должна стать доступной при подаче совместной заявки заинтересованных государств-членов. Подобное отступление должно базироваться на подтвержденной научной информации и должно применяться пропорционально риску для здоровья людей и животных, ассоциированному с некоммерческим перемещением тех животных, которые могут быть поражены бешенством. Государства-члены или их части, выигрывающие от такого отступления, должны быть перечислены в имплементирующем акте, который должен быть утвержден со</w:t>
      </w:r>
      <w:r>
        <w:rPr>
          <w:rFonts w:ascii="Times New Roman" w:hAnsi="Times New Roman" w:cs="Times New Roman"/>
          <w:sz w:val="28"/>
          <w:szCs w:val="28"/>
        </w:rPr>
        <w:t xml:space="preserve">гласно данному Регламенту.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Страны и территории, перечисленные в Разделе 2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II к Регламенту (ЕС) № 998/2003, применяют правила, эквивалентные тем, которые применяются государствами-членами в то время как те, перечисленные в Части С Приложения II к данному Регламенту, соответствуют критериям, изложенным в Статье 10 данного Регламента. Данные списки должны быть представлены без возможности внесения каких-либо существенных изменений в имплементирующем акте для утверждения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согласно данному Регламенту. (19) Более того, список территорий или третьих стран, которые применяют правила, содержание и действие которых те же самые, что и указанные в данном Регламенте для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должен быть представлен в имплементирующем акте для утверждения со</w:t>
      </w:r>
      <w:r>
        <w:rPr>
          <w:rFonts w:ascii="Times New Roman" w:hAnsi="Times New Roman" w:cs="Times New Roman"/>
          <w:sz w:val="28"/>
          <w:szCs w:val="28"/>
        </w:rPr>
        <w:t>гласно данному Регламенту.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Регламент (ЕС) № 998/2003 излагает определенные требования к некоммерческому перемещению домашних питомцев в государства-члены из других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государствчленов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и из стран или с территорий, перечисленных в Разделе 2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и в Части С Приложения II.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Эти требования включают эффективную вакцинацию против бешенства, проводимую на вызывающих сомнение домашних питомцах с использованием вакцин, отвечающих минимальным стандартам, изложенным в соответствующей Главе Руководства по диагностическим тестам и вакцинам для наземных животных Всемирной организации охраны здоровья животных (МЭБ), или на которые выдается разрешение на реализацию в соответствии с Директивой 2001/82/ЕС (1) или Регламентом (ЕС) № 726/2004 (2) . </w:t>
      </w:r>
      <w:proofErr w:type="gramEnd"/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Эти вакцины доказали свою эффективность в защите животных от бешенства и входят в состав требований к вакцинации против бешенства, предусмотренных в Приложении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Ib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к Регламенту (ЕС) № 998/2003. Эти требования должны быть представлены без существенных изменений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III к данному Регламенту.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Регламент (ЕС) № 998/2003 излагает более строгие ветеринарные требования в отношении домашних питомцев, перемещаемых в государства-члены из стран или с территорий, кроме тех, которые перечислены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II.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Эти требования включают проверки у отдельных животных эффективности вакцинации против бешенства путем титрования антител в лаборатории, санкционированной в соответствии с Решением Совета 2000/258/ЕС от 20 марта 2000 года, через назначение специального института, ответственного за учреждение критериев, необходимых для стандартизации серологических тестов для контроля эффективности вакцин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против бешенства (3) . Это требование должно содержаться, поэтому, в приложении IV к 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Регламенту, и должно быть включено (1) Директива 2001/82/ЕС Европейского парламента и Совета от 6 ноября 2001 года по Кодексу Сообщества, имеющему отношение к ветеринарным лекарственным средствам (OJ L 311, 28.11.2001, р. 1). (2) Регламент (ЕС) № 726/2004 Европейского парламента и Совета от 31 марта 2004 года, излагающий процедуры Сообщества по выдаче разрешений и осуществлению надзора за лекарственными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средствамидля</w:t>
      </w:r>
      <w:proofErr w:type="spellEnd"/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людей и ветеринарного применения и учреждающий Европейское агентство по лекарственным средствам (OJ L 136, 30.4.2004, р.1). (3) OJ L 79, 30.3.2000, р. 40. условие, что тест следует проводить в соответствии с методами, указанными в релевантной Главе Руководства по диагностическим тестам и вакцинам для наземных животных Всемирной организации по охран</w:t>
      </w:r>
      <w:r>
        <w:rPr>
          <w:rFonts w:ascii="Times New Roman" w:hAnsi="Times New Roman" w:cs="Times New Roman"/>
          <w:sz w:val="28"/>
          <w:szCs w:val="28"/>
        </w:rPr>
        <w:t xml:space="preserve">е здоровья животных (МЭБ). </w:t>
      </w:r>
      <w:proofErr w:type="gramEnd"/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Необходимо подтверждать соответствие данному Регламенту идентификационных документов, сопровождающих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которые подлежат некоммерческому перемещению в государства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18A7">
        <w:rPr>
          <w:rFonts w:ascii="Times New Roman" w:hAnsi="Times New Roman" w:cs="Times New Roman"/>
          <w:sz w:val="28"/>
          <w:szCs w:val="28"/>
        </w:rPr>
        <w:t xml:space="preserve">члены. Данный Регламент должен, поэтому,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устанавливать условия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для выдачи идентификационных документов и требования к их содержанию, сроку действия, элементам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ти, формату и общему виду.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Данный Регламент должен позволять государствам-членам давать разрешение на некоммерческое перемещение на их территорию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сопровождаемых идентификационным документом, выданным на территории или в третьей стране, которая применяет правила, содержание и действие которых те же самые, что и те, которые используются государствами-членами. Следует также позволять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государствамчленам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разрешать некоммерческое перемещение на их территорию после перемещения на территорию третьей страны домашних питомцев, сопровождаемых идентификационным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документом, выданным государством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18A7">
        <w:rPr>
          <w:rFonts w:ascii="Times New Roman" w:hAnsi="Times New Roman" w:cs="Times New Roman"/>
          <w:sz w:val="28"/>
          <w:szCs w:val="28"/>
        </w:rPr>
        <w:t>членом, в том случае, если условия возврата с этих территорий или из третьих стран будут выполнены до того, как дома</w:t>
      </w:r>
      <w:r>
        <w:rPr>
          <w:rFonts w:ascii="Times New Roman" w:hAnsi="Times New Roman" w:cs="Times New Roman"/>
          <w:sz w:val="28"/>
          <w:szCs w:val="28"/>
        </w:rPr>
        <w:t xml:space="preserve">шний питомец покинет Союз.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Данный регламент должен также предоставлять государствам-членам возможность давать разрешение в случае возникновения необходимости срочного отъезда владельца, например, в случае внезапного стихийного бедствия, политических волнений или других форс-мажорных обстоятельств, связанных с владельцем, на прямой ввоз в страну домашних питомцев видов, перечисленных в Приложении I, которые не удовлетворяют требованиям данного Регламента, при условии, что за разрешением обращаются заблаговременно и дает его государство-член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места назначения, и имеет место ограниченный по времени период изоляции под официальным надзором в целях выполнения условий данного Регламента. Несмотря на необходимость такого срочного отъезда, подобные разрешения не допускают исключений в связи с рисками для здоровья животных, возникающими в результате ввоза в Союз домашнего питомца, который не соответ</w:t>
      </w:r>
      <w:r>
        <w:rPr>
          <w:rFonts w:ascii="Times New Roman" w:hAnsi="Times New Roman" w:cs="Times New Roman"/>
          <w:sz w:val="28"/>
          <w:szCs w:val="28"/>
        </w:rPr>
        <w:t xml:space="preserve">ствует данному Регламенту.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Директива 90/425/ЕЕС и Директива 91/496/ЕЕС не применяются в отношении ветеринарных проверок домашних питомцев, которые сопровождают путешественников во время некоммерческого перемещения. (26) Поэтому, для того, чтобы государства-члены могли подтвердить соответствие данному Регламенту и предпринять необходимые действия, данный Регламент должен требовать от лица, сопровождающего домашнего питомца, представления необходимого идентификационного документа во время любого некоммерческого перемещения в государство-член и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должен обеспечивать соответствующие проверки документов и идентичности домашних питомцев, сопровождающих владельца во время некоммерческого перемещения в государство-член из другого государства-члена или с определенных террит</w:t>
      </w:r>
      <w:r>
        <w:rPr>
          <w:rFonts w:ascii="Times New Roman" w:hAnsi="Times New Roman" w:cs="Times New Roman"/>
          <w:sz w:val="28"/>
          <w:szCs w:val="28"/>
        </w:rPr>
        <w:t xml:space="preserve">орий или из третьих стран.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 должен также требовать от государств-членов проведения систематических проверок документов и идентичности в специально определенных пунктах ввоза в отношении домашних питомцев, сопровождающих своих владельцев во время некоммерческого перемещения в государство-член с определенных территорий или их третьих стран. Эти проверки должны принимать во внимание релевантные принципы Регламента (ЕС) № 882/2004 Европейского парламента и Совета от 29 апреля 2004 года по официальным контрольным проверкам, проводимым для обеспечения верификации соответствия кормовому и пищевому закону, правилам охраны здоровья животных и обеспечения благополучия (4) 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В случае необходимости с целью дальнейшего перемещения в государства-члены от государств-членов требуется документировать проверки в идентификационном документе для того, чтобы использовать дату этих проверок для определения периода действия иде</w:t>
      </w:r>
      <w:r>
        <w:rPr>
          <w:rFonts w:ascii="Times New Roman" w:hAnsi="Times New Roman" w:cs="Times New Roman"/>
          <w:sz w:val="28"/>
          <w:szCs w:val="28"/>
        </w:rPr>
        <w:t xml:space="preserve">нтификационного документа.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>Кроме того, данный Регламент должен обеспечивать защитные меры для решения проблем, связанных с рисками для здоровья людей или животных, возникающими в результате некоммерческого пере</w:t>
      </w:r>
      <w:r>
        <w:rPr>
          <w:rFonts w:ascii="Times New Roman" w:hAnsi="Times New Roman" w:cs="Times New Roman"/>
          <w:sz w:val="28"/>
          <w:szCs w:val="28"/>
        </w:rPr>
        <w:t xml:space="preserve">мещения домашних питомцев. </w:t>
      </w:r>
      <w:r w:rsidRPr="003418A7">
        <w:rPr>
          <w:rFonts w:ascii="Times New Roman" w:hAnsi="Times New Roman" w:cs="Times New Roman"/>
          <w:sz w:val="28"/>
          <w:szCs w:val="28"/>
        </w:rPr>
        <w:t>В целях обеспечения граждан открытой и доступной для понимания информацией в отношении правил, которые применяются к некоммерческому перемещению в Союз домашних питомцев видов, перечисленных в Приложении I, от государств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18A7">
        <w:rPr>
          <w:rFonts w:ascii="Times New Roman" w:hAnsi="Times New Roman" w:cs="Times New Roman"/>
          <w:sz w:val="28"/>
          <w:szCs w:val="28"/>
        </w:rPr>
        <w:t>членов требуется сделать информацию, в частности, касающуюся положений национального закона, дос</w:t>
      </w:r>
      <w:r>
        <w:rPr>
          <w:rFonts w:ascii="Times New Roman" w:hAnsi="Times New Roman" w:cs="Times New Roman"/>
          <w:sz w:val="28"/>
          <w:szCs w:val="28"/>
        </w:rPr>
        <w:t xml:space="preserve">тупной для общественности.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Для того, чтобы обеспечить должное выполнение данного Регламента, полномочия по утверждению актов в соответствии со Статьей 290 Договора о функционировании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Евро</w:t>
      </w:r>
      <w:r>
        <w:rPr>
          <w:rFonts w:ascii="Times New Roman" w:hAnsi="Times New Roman" w:cs="Times New Roman"/>
          <w:sz w:val="28"/>
          <w:szCs w:val="28"/>
        </w:rPr>
        <w:t>Союза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должны быть делегированы Комиссии в отношении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видоспецифических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требований к маркировке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и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видоспецифических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превентивных мер против болезней или инфекций,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кроме бешенства, поражающих виды, перечисленные в Приложении I, а также для того чтобы утвердить правила по ограничению количества домашних питомцев видов,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сопровождающих своих владельцев во время некоммерческого перемещения, и внести поправки в приложения II-IV.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8A7">
        <w:rPr>
          <w:rFonts w:ascii="Times New Roman" w:hAnsi="Times New Roman" w:cs="Times New Roman"/>
          <w:sz w:val="28"/>
          <w:szCs w:val="28"/>
        </w:rPr>
        <w:t xml:space="preserve">Особенно важно, что Комиссия проводит соответствующие консультации во время подготовительной работы, включая консультации на уровне экспертов. Комиссия при подготовке и оформлении делегированных актов должна гарантировать мгновенную, своевременную и соответствующую передачу релевантных документов в Европейский парламент и Совет. (4) </w:t>
      </w:r>
      <w:r>
        <w:rPr>
          <w:rFonts w:ascii="Times New Roman" w:hAnsi="Times New Roman" w:cs="Times New Roman"/>
          <w:sz w:val="28"/>
          <w:szCs w:val="28"/>
        </w:rPr>
        <w:t xml:space="preserve">OJ L 165, 30.4.2004, р. 1. </w:t>
      </w:r>
      <w:r w:rsidRPr="003418A7">
        <w:rPr>
          <w:rFonts w:ascii="Times New Roman" w:hAnsi="Times New Roman" w:cs="Times New Roman"/>
          <w:sz w:val="28"/>
          <w:szCs w:val="28"/>
        </w:rPr>
        <w:t xml:space="preserve">Кроме того, полномочия по утверждению актов в соответствии со срочной процедурой должны делегироваться Комиссии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образом обоснованных случаях риска для здоровья людей и животных в отношении превентивных мер против болезней или инфекций, за исключением бешенства, которые, вероятно, могут поражать домашних питомцев видов, пер</w:t>
      </w:r>
      <w:r>
        <w:rPr>
          <w:rFonts w:ascii="Times New Roman" w:hAnsi="Times New Roman" w:cs="Times New Roman"/>
          <w:sz w:val="28"/>
          <w:szCs w:val="28"/>
        </w:rPr>
        <w:t xml:space="preserve">ечисленных в Приложении I.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В целях обеспечения однородных условий выполнения данного Регламента полномочия по выполнению должны быть возложены на Комиссию, если речь идет о списке государств-членов или их частей, которые имеют эквивалентный благоприятный статус относительно бешенства и которые имеют разрешение на заключение взаимных соглашений по частичному отступлению от определенных условий, распространяющихся на некоммерческое перемещение домашних питомцев, о списке государств-членов, распределенных по категориям согласно правилам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касающимся превентивных мер против болезней и инфекций, кроме бешенства, о списках территорий и третьих стран, установленных </w:t>
      </w:r>
      <w:proofErr w:type="spellStart"/>
      <w:r w:rsidRPr="003418A7">
        <w:rPr>
          <w:rFonts w:ascii="Times New Roman" w:hAnsi="Times New Roman" w:cs="Times New Roman"/>
          <w:sz w:val="28"/>
          <w:szCs w:val="28"/>
        </w:rPr>
        <w:t>сцелью</w:t>
      </w:r>
      <w:proofErr w:type="spellEnd"/>
      <w:r w:rsidRPr="003418A7">
        <w:rPr>
          <w:rFonts w:ascii="Times New Roman" w:hAnsi="Times New Roman" w:cs="Times New Roman"/>
          <w:sz w:val="28"/>
          <w:szCs w:val="28"/>
        </w:rPr>
        <w:t xml:space="preserve"> частичного отступления от определенных условий, распространяющихся на некоммерческое перемещение, об образце идентификационных документов, которые сопровождают домашних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питомцев видов, перечисленных в Приложении I, во время некоммерческого перемещения в государство-член из другого государства-члена или с территории или из третьей страны, о правилах в отношении формата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>, внешнего вида и языков деклараций, которые необходимо подписывать, и мер предосторожности в случае возникновения или распространения бешенства или болезни или инфекции, кроме бешенства. Эти полномочия должны осуществляться в соответствии с Регламентом (Е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>) № 182/2011 Европейского парламента и Совета от 16 февраля 2011 года, излагающим правила и общие принципы, касающиеся механизмов контроля со стороны государств-членов за осуществлением Комиссией имплементирующих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(1) .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Комиссия должна утверждать безотлагательно применимые имплементирующие акты, корректирующие список государств-членов или их частей с эквивалентным благоприятным статусом в отношении бешенства, в соответствии с которыми разрешается заключать взаимные соглашения по частичному отступлению от определенных условий, применимых к некоммерческому перемещению домашних питомцев, и список территорий или третьих стран, учрежденный с целью частичного отступления от определенных условий, применимых к некоммерческому перемещению, и обсуждения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защитных мер в случае возникновения или распространения бешенства или болезни или инфекции, кроме бешенства, там, где в обоснованных должным образом случаях, касающихся здоровья животных и людей, требуются настоятельные об</w:t>
      </w:r>
      <w:r>
        <w:rPr>
          <w:rFonts w:ascii="Times New Roman" w:hAnsi="Times New Roman" w:cs="Times New Roman"/>
          <w:sz w:val="28"/>
          <w:szCs w:val="28"/>
        </w:rPr>
        <w:t xml:space="preserve">основания срочности. </w:t>
      </w:r>
      <w:r w:rsidRPr="003418A7">
        <w:rPr>
          <w:rFonts w:ascii="Times New Roman" w:hAnsi="Times New Roman" w:cs="Times New Roman"/>
          <w:sz w:val="28"/>
          <w:szCs w:val="28"/>
        </w:rPr>
        <w:t xml:space="preserve">В ряде государств-членов были выявлены определенные неудачи в подчинении правилам, изложенным в Регламенте (ЕС) № 998/2003.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Следовательно, (1) OJ L 55, 28.2.2011, р. 13. государства-члены должны изложить правила по санкциям, применимым к нарушениям данного Регламента. (35) Решение Комиссии 2003/803/ЕС от 26 ноября 2003 года, учреждающее образец паспорта для перемещения в пределах Сообщества собак, кошек и хорьков (2) , устанавливает образец паспорта для перемещения домашних питомцев таких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видов, как собаки, кошки и хорьки, между государствами-членами согласно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Регламенту (ЕС) № 998/2003. Идентификационные документы, оформленные в соответствии с образцом паспорта, должны в определенных условиях оставаться действительными в течение продолжительности жизни домашнего питомца в целях ограничения административной и финансов</w:t>
      </w:r>
      <w:r>
        <w:rPr>
          <w:rFonts w:ascii="Times New Roman" w:hAnsi="Times New Roman" w:cs="Times New Roman"/>
          <w:sz w:val="28"/>
          <w:szCs w:val="28"/>
        </w:rPr>
        <w:t xml:space="preserve">ой нагрузки на владельцев.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Имплементирующее Решение Комиссии 2011/874/EU от 15 декабря 2011 года, излагающее список третьих стран и территорий, имеющих разрешение на импорт собак, кошек и хорьков и на некоммерческое перемещение более пяти собак, кошек и хорьков в Союз, и образцы сертификатов для импорта и некоммерческого перем</w:t>
      </w:r>
      <w:r>
        <w:rPr>
          <w:rFonts w:ascii="Times New Roman" w:hAnsi="Times New Roman" w:cs="Times New Roman"/>
          <w:sz w:val="28"/>
          <w:szCs w:val="28"/>
        </w:rPr>
        <w:t>ещения этих животных в Союз</w:t>
      </w:r>
      <w:r w:rsidRPr="003418A7">
        <w:rPr>
          <w:rFonts w:ascii="Times New Roman" w:hAnsi="Times New Roman" w:cs="Times New Roman"/>
          <w:sz w:val="28"/>
          <w:szCs w:val="28"/>
        </w:rPr>
        <w:t>, устанавливает образец сертификата здоровья, подтверждающего соответствие требованиям Регламента (ЕС) № 998/2003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по некоммерческому перемещению пяти или более собак, кошек или хорьков в Союз. </w:t>
      </w:r>
    </w:p>
    <w:p w:rsidR="002D3DC1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>В целях обеспечения плавного перехода к новым правилам, изложенным в данном Регламенте, этот образец сертификата должен оставаться действительным при наличии определенных условий. (37) Так как цель данного Регламента, а именно, сформулировать требования к здоровью животных при некоммерческом перемещении домашних питомцев видов, перечисленных в Приложении I, для предупреждения или сведения к минимуму рисков для здоровья людей или животных, возникающих в результате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таких перемещений, не может быть в полной мере достигнута государствами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18A7">
        <w:rPr>
          <w:rFonts w:ascii="Times New Roman" w:hAnsi="Times New Roman" w:cs="Times New Roman"/>
          <w:sz w:val="28"/>
          <w:szCs w:val="28"/>
        </w:rPr>
        <w:t xml:space="preserve">членами, а может, поэтому, лучше достигаться на уровне 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3418A7">
        <w:rPr>
          <w:rFonts w:ascii="Times New Roman" w:hAnsi="Times New Roman" w:cs="Times New Roman"/>
          <w:sz w:val="28"/>
          <w:szCs w:val="28"/>
        </w:rPr>
        <w:t xml:space="preserve">, то Союз может утверждать меры согласно принципу приоритетности низшего звена в принятии решений, сформулированному в Статье 5 Договора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Европейском Союзе. </w:t>
      </w:r>
    </w:p>
    <w:p w:rsidR="002D3DC1" w:rsidRPr="005268BC" w:rsidRDefault="002D3DC1" w:rsidP="002D3DC1">
      <w:pPr>
        <w:pStyle w:val="a3"/>
        <w:tabs>
          <w:tab w:val="left" w:pos="79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В соответствии с принципом пропорциональности, указанным в этой Статье, данный Регламент не выходит за рамки, что необходимо для достижения этой цели. (38) В целях одновременной публикации данного Регламента и имплементирующих актов в отношении списков территорий и </w:t>
      </w:r>
      <w:r w:rsidRPr="003418A7">
        <w:rPr>
          <w:rFonts w:ascii="Times New Roman" w:hAnsi="Times New Roman" w:cs="Times New Roman"/>
          <w:sz w:val="28"/>
          <w:szCs w:val="28"/>
        </w:rPr>
        <w:lastRenderedPageBreak/>
        <w:t>третьих стран, установленных в целях частичного отступления от определенных условий, применимых к некоммерческому перемещению, в отношении образца идентификационных документов, которые сопровождают домашних питомцев видов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>, перечисленных в Части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Приложения I, во время некоммерческого перемещения в государство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18A7">
        <w:rPr>
          <w:rFonts w:ascii="Times New Roman" w:hAnsi="Times New Roman" w:cs="Times New Roman"/>
          <w:sz w:val="28"/>
          <w:szCs w:val="28"/>
        </w:rPr>
        <w:t xml:space="preserve">член из другого государства-члена или с территории или из третьей страны, и в отношении правил по формату, внешнему виду и языкам подписываемых (2) OJ L 312, 27.11.2003, р. 1. (3) OJ L 343, 23.12.2011, р. 65. деклараций, данный Регламент должен войти в силу в день его опубликования в Официальном </w:t>
      </w:r>
      <w:proofErr w:type="gramStart"/>
      <w:r w:rsidRPr="003418A7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3418A7">
        <w:rPr>
          <w:rFonts w:ascii="Times New Roman" w:hAnsi="Times New Roman" w:cs="Times New Roman"/>
          <w:sz w:val="28"/>
          <w:szCs w:val="28"/>
        </w:rPr>
        <w:t xml:space="preserve"> Европейского 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3418A7">
        <w:rPr>
          <w:rFonts w:ascii="Times New Roman" w:hAnsi="Times New Roman" w:cs="Times New Roman"/>
          <w:sz w:val="28"/>
          <w:szCs w:val="28"/>
        </w:rPr>
        <w:t>,</w:t>
      </w:r>
    </w:p>
    <w:p w:rsidR="002D3DC1" w:rsidRPr="005268BC" w:rsidRDefault="002D3DC1" w:rsidP="002D3DC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8B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268B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Ветеринарно-санитарные меры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Е</w:t>
      </w:r>
      <w:r w:rsidRPr="005268B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вразийского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Э</w:t>
      </w:r>
      <w:r w:rsidRPr="005268B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кономического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Союза</w:t>
      </w:r>
      <w:r w:rsidRPr="005268B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ab/>
      </w:r>
    </w:p>
    <w:p w:rsidR="002D3DC1" w:rsidRPr="00C57CB0" w:rsidRDefault="002D3DC1" w:rsidP="002D3DC1">
      <w:pPr>
        <w:pStyle w:val="a3"/>
        <w:tabs>
          <w:tab w:val="left" w:pos="2160"/>
          <w:tab w:val="left" w:pos="8260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Евразийском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кономическом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оюзе предусмотрено применение санитарных, ветеринарно-санитарных и карантинных фитосанитарных мер в научно-обоснованном объеме, необходимом для защиты жизни и здоровья граждан, животных и растений. Эти нормы разработаны на основе международных и региональных стандартов, научных руководств и рекомендаций. В отдельных случаях предусмотрено введение мер, обеспечивающих более высокий уровень защиты. В этом случае решение должно быть подтверждено решением Евразийской экономической комиссии.</w:t>
      </w:r>
    </w:p>
    <w:p w:rsidR="002D3DC1" w:rsidRPr="00D32193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государство член ЕАЭС имеет право самостоятельно разрабатывать и вводить временные санитарные, ветеринарно-санитарные и карантинные фитосанитарные меры по согласованию с Евразийской экономической комиссией.</w:t>
      </w:r>
    </w:p>
    <w:p w:rsidR="002D3DC1" w:rsidRPr="00D32193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C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Санитарные меры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представляют собой неукоснительные для исполнения процедуры и требования, связанные с методами обработки, производства, транспортировки, хранения и утилизации конечного продукта, а также процедуры отбора проб, методов исследований (испытаний), оценки риска, государственной регистрации, требований к маркировке и упаковке, 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направленные в конечном итоге на обеспечение безопасности продукции (товаров) в целях защиты жизни и здоровья человека.</w:t>
      </w:r>
      <w:proofErr w:type="gramEnd"/>
    </w:p>
    <w:p w:rsidR="002D3DC1" w:rsidRPr="00D32193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Единые санитарно-эпидемиологические и гигиенические требования и процедуры прописаны в Решении Комиссии Таможенного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оюза от 28 мая 2010 г. № 299 (ред. от 29 08 2017 г. № 107) «О применении санитарных мер в Евразийском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кономическом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оюзе». Если в отношении продукции предусмотрено применение санитарных мер и разработаны технические регламенты, то такие требования должны быть обязательно включено в эти регламенты.</w:t>
      </w:r>
    </w:p>
    <w:p w:rsidR="002D3DC1" w:rsidRPr="00D32193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7C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Ветеринарно-санитарные меры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требования и процедуры, обязательные к исполнению и применяемые для зашиты животных и населения от общих болезней, которые могут распространяться при перемещении животных, кормов и сырья животного происхождения, а также транспортными средствами, перевозящими их.</w:t>
      </w:r>
      <w:proofErr w:type="gramEnd"/>
    </w:p>
    <w:p w:rsidR="002D3DC1" w:rsidRPr="00D32193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товарам, подлежащим такому виду контроля, определяемому Евразийской экономической комиссией, предъявляются единые требования на всей территории ЕАЭС. Любая партия товара, пересекающая таможенную территорию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подлежащая ветеринарному контролю, должна иметь разрешение, выданное уполномоченным органом государства члена ЕАЭС, на территорию которого он ввозится, и сертификат, выданный уполномоченными органами той страны, из которой товар вывозится. Перевозка товаров, подлежащих ветеринарно-санитарному контролю, должна осуществляться в соответствии с едиными требованиями ЕАЭС. Уполномоченными органами по выдаче документов для перевозки являются государственные органы и учреждения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 деятельность в области ветеринарии.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единая форма ветеринарных сертификатов, утвержденная в Решении Комиссии Таможенного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18 ноября 2010 г. № 455 «О проектах документов в сфере применения ветеринарных мер Таможенного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актами Евразийской экономической комиссии уполномоченные органы в области ветеринарии могут проводить аудит предприятий, занимающихся производством, переработкой и транспортировкой продукции, подлежащей ветеринарно-санитарному контролю, находящихся за пределами ЕАЭС для обеспечения защиты рынка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импорта недоброкачественной продукции.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компетенции госуда</w:t>
      </w:r>
      <w:proofErr w:type="gramStart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чл</w:t>
      </w:r>
      <w:proofErr w:type="gramEnd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енов ЕАЭС находится право разработки и введения временных или безотлагательных ветеринарно-санитарных мер и требований в случае ухудшения эпизодической обстановки на территории стран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третьих стран.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Карантинные фитосанитарные меры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правила, требования и процедуры, обязательные для исполнения и применяемые для охраны таможенной территории ЕАЭС от ввоза и распространения карантинных объектов.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меры применяются в отношении продукции, включенной в специальный перечень </w:t>
      </w:r>
      <w:proofErr w:type="spellStart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подкарантинной</w:t>
      </w:r>
      <w:proofErr w:type="spellEnd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продукции, регулируемый Евразийской экономической комиссией.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Государства члены ЕАЭС в пунктах пропуска, специализирующихся на оформлении </w:t>
      </w:r>
      <w:proofErr w:type="spellStart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подкарантинной</w:t>
      </w:r>
      <w:proofErr w:type="spellEnd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продукции, имеют фитосанитарные контрольные посты, требования к материально-техническому оснащению и обустройству которых регламентируются Евразийской экономической комиссией.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артии товаров с высоким фитосанитарным риском или включенные в перечень </w:t>
      </w:r>
      <w:proofErr w:type="spellStart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подкарантинной</w:t>
      </w:r>
      <w:proofErr w:type="spellEnd"/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продукции, которые ввозятся на территорию ЕАЭС или перемещаются из одного государства члена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</w:t>
      </w: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другое, обязательно должны иметь экспортный или реэкспортный фитосанитарный сертификат.</w:t>
      </w:r>
    </w:p>
    <w:p w:rsidR="002D3DC1" w:rsidRPr="00C57CB0" w:rsidRDefault="002D3DC1" w:rsidP="002D3DC1">
      <w:pPr>
        <w:shd w:val="clear" w:color="auto" w:fill="FFFFFF" w:themeFill="background1"/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из стран членов ЕАЭС имеет право самостоятельно разрабатывать и вводить карантинные фитосанитарные меры, когда:</w:t>
      </w:r>
    </w:p>
    <w:p w:rsidR="002D3DC1" w:rsidRPr="00C57CB0" w:rsidRDefault="002D3DC1" w:rsidP="002D3DC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опасность ухудшения карантинной фитосанитарной ситуации на своей территории;</w:t>
      </w:r>
    </w:p>
    <w:p w:rsidR="002D3DC1" w:rsidRPr="00C57CB0" w:rsidRDefault="002D3DC1" w:rsidP="002D3DC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информация, полученная от соответствующих международных организаций,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ЕАЭС или третьих стран об используемых карантинных фитосанитарных мерах;</w:t>
      </w:r>
    </w:p>
    <w:p w:rsidR="002D3DC1" w:rsidRPr="00C57CB0" w:rsidRDefault="002D3DC1" w:rsidP="002D3DC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имеющиеся научные обоснования введения фитосанитарных мер недостаточны или не могут быть предоставлены в необходимые сроки;</w:t>
      </w:r>
    </w:p>
    <w:p w:rsidR="002D3DC1" w:rsidRPr="00C57CB0" w:rsidRDefault="002D3DC1" w:rsidP="002D3DC1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выявляются карантинные объекты в </w:t>
      </w:r>
      <w:proofErr w:type="spellStart"/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подкарантинной</w:t>
      </w:r>
      <w:proofErr w:type="spellEnd"/>
      <w:r w:rsidRPr="00C5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ввозимой из третьих стран.</w:t>
      </w:r>
    </w:p>
    <w:p w:rsidR="002D3DC1" w:rsidRPr="00367A79" w:rsidRDefault="002D3DC1" w:rsidP="002D3DC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12BD" w:rsidRDefault="004D12BD">
      <w:bookmarkStart w:id="0" w:name="_GoBack"/>
      <w:bookmarkEnd w:id="0"/>
    </w:p>
    <w:sectPr w:rsidR="004D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1DFB"/>
    <w:multiLevelType w:val="hybridMultilevel"/>
    <w:tmpl w:val="5A7A6BC0"/>
    <w:lvl w:ilvl="0" w:tplc="7C2AC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12601"/>
    <w:multiLevelType w:val="hybridMultilevel"/>
    <w:tmpl w:val="DD604F9C"/>
    <w:lvl w:ilvl="0" w:tplc="5098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9E4944"/>
    <w:multiLevelType w:val="multilevel"/>
    <w:tmpl w:val="EC0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65"/>
    <w:rsid w:val="00057565"/>
    <w:rsid w:val="002D3DC1"/>
    <w:rsid w:val="00376CFF"/>
    <w:rsid w:val="00456097"/>
    <w:rsid w:val="004D12BD"/>
    <w:rsid w:val="00874564"/>
    <w:rsid w:val="00A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5300</Words>
  <Characters>30216</Characters>
  <Application>Microsoft Office Word</Application>
  <DocSecurity>0</DocSecurity>
  <Lines>251</Lines>
  <Paragraphs>70</Paragraphs>
  <ScaleCrop>false</ScaleCrop>
  <Company/>
  <LinksUpToDate>false</LinksUpToDate>
  <CharactersWithSpaces>35446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2020-09-23T12:21:00Z</dcterms:created>
  <dcterms:modified xsi:type="dcterms:W3CDTF">2020-09-23T12:26:00Z</dcterms:modified>
</cp:coreProperties>
</file>